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The British School of Costa Rica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209611</wp:posOffset>
            </wp:positionV>
            <wp:extent cx="650290" cy="79248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290" cy="792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6207710</wp:posOffset>
            </wp:positionH>
            <wp:positionV relativeFrom="paragraph">
              <wp:posOffset>208280</wp:posOffset>
            </wp:positionV>
            <wp:extent cx="650290" cy="79248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290" cy="792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Job Description &amp; Person Specification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440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Post Title:</w:t>
      </w:r>
      <w:r w:rsidDel="00000000" w:rsidR="00000000" w:rsidRPr="00000000">
        <w:rPr>
          <w:sz w:val="24"/>
          <w:szCs w:val="24"/>
          <w:rtl w:val="0"/>
        </w:rPr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Teacher of Science (Biology)</w:t>
      </w:r>
    </w:p>
    <w:p w:rsidR="00000000" w:rsidDel="00000000" w:rsidP="00000000" w:rsidRDefault="00000000" w:rsidRPr="00000000" w14:paraId="00000006">
      <w:pPr>
        <w:tabs>
          <w:tab w:val="left" w:leader="none" w:pos="1440"/>
        </w:tabs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Section: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11 to 18 year olds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1" w:sz="6" w:val="single"/>
        </w:pBd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Accountable to:</w:t>
      </w:r>
      <w:r w:rsidDel="00000000" w:rsidR="00000000" w:rsidRPr="00000000">
        <w:rPr>
          <w:sz w:val="24"/>
          <w:szCs w:val="24"/>
          <w:rtl w:val="0"/>
        </w:rPr>
        <w:tab/>
        <w:tab/>
        <w:t xml:space="preserve">Head of Science / Head of Secondary</w:t>
      </w:r>
    </w:p>
    <w:p w:rsidR="00000000" w:rsidDel="00000000" w:rsidP="00000000" w:rsidRDefault="00000000" w:rsidRPr="00000000" w14:paraId="00000008">
      <w:pPr>
        <w:pBdr>
          <w:bottom w:color="000000" w:space="1" w:sz="6" w:val="singl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line="240" w:lineRule="auto"/>
        <w:rPr>
          <w:rFonts w:ascii="Times New Roman" w:cs="Times New Roman" w:eastAsia="Times New Roman" w:hAnsi="Times New Roman"/>
          <w:color w:val="0070c0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70c0"/>
          <w:rtl w:val="0"/>
        </w:rPr>
        <w:t xml:space="preserve">Main Responsibilities</w:t>
      </w:r>
    </w:p>
    <w:p w:rsidR="00000000" w:rsidDel="00000000" w:rsidP="00000000" w:rsidRDefault="00000000" w:rsidRPr="00000000" w14:paraId="0000000A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Plan and deliver lessons that are pedagogically sound and are aligned with School and curriculum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Contribute to the ongoing development of the </w:t>
      </w:r>
      <w:r w:rsidDel="00000000" w:rsidR="00000000" w:rsidRPr="00000000">
        <w:rPr>
          <w:rtl w:val="0"/>
        </w:rPr>
        <w:t xml:space="preserve">Science/Biology </w:t>
      </w:r>
      <w:r w:rsidDel="00000000" w:rsidR="00000000" w:rsidRPr="00000000">
        <w:rPr>
          <w:color w:val="000000"/>
          <w:rtl w:val="0"/>
        </w:rPr>
        <w:t xml:space="preserve">curriculum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Continually assess student’s progress by utilizing both formative and summative assessments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Reflect on student performance for future planning and delivery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Actively participate in the performance management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Prepare and maintain accurate records and quarterly reports in accordance with School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Contribute to the ongoing operations and development of the </w:t>
      </w:r>
      <w:r w:rsidDel="00000000" w:rsidR="00000000" w:rsidRPr="00000000">
        <w:rPr>
          <w:rtl w:val="0"/>
        </w:rPr>
        <w:t xml:space="preserve">Science </w:t>
      </w:r>
      <w:r w:rsidDel="00000000" w:rsidR="00000000" w:rsidRPr="00000000">
        <w:rPr>
          <w:color w:val="000000"/>
          <w:rtl w:val="0"/>
        </w:rPr>
        <w:t xml:space="preserve">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Contribute to whole-School and extra-curricular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Comply with all of the School’s policies and regulations – specifically those relating to discipline, academic honesty, inclusion, assessment and health and safety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Maintain positive and supportive relationships with students, staff and parents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Fulfill operational responsibilities which include: break duties; exam invigilation; parent-teacher meetings, attendance at department and staff meetings and after-school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Cover classes as reasonably requested by the Deputy-Head of Secondary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Supervise extended essays when appropriate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Participate in cross-curricular collaboration activities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Support the School’s House system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Support Student Council initiatives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Contribute to the creation of the department budget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Ensure that subject specific books and other relevant resources are in a good condition and available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Check SDS records on a regular basis to ensure that the learning needs of all students are being met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Liaise with the SDS department regarding students who present social/emotional concerns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Liaise with the Department Head, Deputy Head and Head of Secondary regarding students who present disciplinary or academic concerns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0070c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70c0"/>
          <w:sz w:val="24"/>
          <w:szCs w:val="24"/>
          <w:rtl w:val="0"/>
        </w:rPr>
        <w:t xml:space="preserve">Person Specification</w:t>
      </w:r>
      <w:r w:rsidDel="00000000" w:rsidR="00000000" w:rsidRPr="00000000">
        <w:rPr>
          <w:rtl w:val="0"/>
        </w:rPr>
      </w:r>
    </w:p>
    <w:tbl>
      <w:tblPr>
        <w:tblStyle w:val="Table1"/>
        <w:tblW w:w="11106.000000000002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12"/>
        <w:gridCol w:w="1247"/>
        <w:gridCol w:w="1247"/>
        <w:tblGridChange w:id="0">
          <w:tblGrid>
            <w:gridCol w:w="8612"/>
            <w:gridCol w:w="1247"/>
            <w:gridCol w:w="124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tcMar>
              <w:top w:w="72.0" w:type="dxa"/>
              <w:left w:w="100.0" w:type="dxa"/>
              <w:bottom w:w="72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9fc5e8" w:val="clear"/>
            <w:tcMar>
              <w:top w:w="72.0" w:type="dxa"/>
              <w:left w:w="100.0" w:type="dxa"/>
              <w:bottom w:w="72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Qualifications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Bachelor’s degree in Science/Biology closely related discipline or a Bachelor’s degree in education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recognized formal teaching qualification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relevant Master’s degree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9fc5e8" w:val="clear"/>
            <w:tcMar>
              <w:top w:w="72.0" w:type="dxa"/>
              <w:left w:w="100.0" w:type="dxa"/>
              <w:bottom w:w="72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Experience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 least 2 years teaching experience, preferably in international schools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Recent experience of teaching the I.B. Diploma and/or I.G.C.S.E. programme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9fc5e8" w:val="clear"/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Professional Skills, Knowledge and Understanding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Fluency or near-fluency in English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 effective classroom practitioner with a developed knowledge and understanding of current pedagogy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Able to engage with students and to engender enthusiasm for learning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Comfortable using a range of I.C.T. including the Google platform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9fc5e8" w:val="clear"/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Attributes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Have effective communication, organization and time management skills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 able to manage own workload effectively and respond swiftly to tight deadlines</w:t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2.0" w:type="dxa"/>
              <w:left w:w="100.0" w:type="dxa"/>
              <w:bottom w:w="7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jc w:val="both"/>
        <w:rPr/>
      </w:pPr>
      <w:bookmarkStart w:colFirst="0" w:colLast="0" w:name="_3znysh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before="0" w:lineRule="auto"/>
        <w:jc w:val="both"/>
        <w:rPr>
          <w:rFonts w:ascii="Calibri" w:cs="Calibri" w:eastAsia="Calibri" w:hAnsi="Calibri"/>
          <w:b w:val="0"/>
          <w:bCs w:val="0"/>
          <w:i w:val="1"/>
          <w:iCs w:val="1"/>
          <w:color w:val="000000"/>
        </w:rPr>
      </w:pPr>
      <w:bookmarkStart w:colFirst="0" w:colLast="0" w:name="_2et92p0" w:id="3"/>
      <w:bookmarkEnd w:id="3"/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000000"/>
          <w:rtl w:val="0"/>
        </w:rPr>
        <w:t xml:space="preserve">“Aligned with the recommendations of the International Task Force on Child Protection, we hold ourselves to a high standard of effective recruiting practices with specific attention to child protection” </w:t>
      </w:r>
      <w:r w:rsidDel="00000000" w:rsidR="00000000" w:rsidRPr="00000000">
        <w:rPr>
          <w:rFonts w:ascii="Calibri" w:cs="Calibri" w:eastAsia="Calibri" w:hAnsi="Calibri"/>
          <w:b w:val="0"/>
          <w:bCs w:val="0"/>
          <w:color w:val="000000"/>
          <w:rtl w:val="0"/>
        </w:rPr>
        <w:t xml:space="preserve">(International Task Force on Child Protection, June 2016 Report: Outcomes and Recommendations).  As such, this appointment is subject to the provision of an appropriate criminal record check and the satisfactory return of professional referees.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ambria"/>
  <w:font w:name="Georgia"/>
  <w:font w:name="Times New Roman"/>
  <w:font w:name="Arial Unicode MS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Quattrocento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Arial" w:cs="Arial" w:eastAsia="Arial" w:hAnsi="Arial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Arial" w:cs="Arial" w:eastAsia="Arial" w:hAnsi="Arial"/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QuattrocentoSans-italic.ttf"/><Relationship Id="rId10" Type="http://schemas.openxmlformats.org/officeDocument/2006/relationships/font" Target="fonts/QuattrocentoSans-bold.ttf"/><Relationship Id="rId12" Type="http://schemas.openxmlformats.org/officeDocument/2006/relationships/font" Target="fonts/QuattrocentoSans-boldItalic.ttf"/><Relationship Id="rId9" Type="http://schemas.openxmlformats.org/officeDocument/2006/relationships/font" Target="fonts/QuattrocentoSans-regular.ttf"/><Relationship Id="rId5" Type="http://schemas.openxmlformats.org/officeDocument/2006/relationships/font" Target="fonts/NotoSans-regular.ttf"/><Relationship Id="rId6" Type="http://schemas.openxmlformats.org/officeDocument/2006/relationships/font" Target="fonts/NotoSans-bold.ttf"/><Relationship Id="rId7" Type="http://schemas.openxmlformats.org/officeDocument/2006/relationships/font" Target="fonts/NotoSans-italic.ttf"/><Relationship Id="rId8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