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jc w:val="center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British School of Costa Rica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152400</wp:posOffset>
            </wp:positionV>
            <wp:extent cx="686022" cy="83661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022" cy="836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6172200</wp:posOffset>
            </wp:positionH>
            <wp:positionV relativeFrom="paragraph">
              <wp:posOffset>152400</wp:posOffset>
            </wp:positionV>
            <wp:extent cx="686022" cy="8366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022" cy="836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144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 Title:</w:t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Psychologist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440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Section: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Whole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Accountable to: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SDS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ageBreakBefore w:val="0"/>
        <w:spacing w:before="0" w:line="240" w:lineRule="auto"/>
        <w:rPr>
          <w:rFonts w:ascii="Times New Roman" w:cs="Times New Roman" w:eastAsia="Times New Roman" w:hAnsi="Times New Roman"/>
          <w:color w:val="0070c0"/>
        </w:rPr>
      </w:pPr>
      <w:bookmarkStart w:colFirst="0" w:colLast="0" w:name="_n4l18yuoyfuq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Main Responsibilities</w:t>
      </w:r>
    </w:p>
    <w:p w:rsidR="00000000" w:rsidDel="00000000" w:rsidP="00000000" w:rsidRDefault="00000000" w:rsidRPr="00000000" w14:paraId="0000000A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sz w:val="24"/>
          <w:szCs w:val="24"/>
          <w:rtl w:val="0"/>
        </w:rPr>
        <w:t xml:space="preserve">Implement the School’s support programmes, policies and procedures (academic and non-academic) for all students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rovide support and orientation to students, staff and parents in cases where the learning process is being affected (e.g. learning challenges, inter-personal conflicts, emotional difficulties, behavioural issues etc.)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 referrals from staff and parents and undertake appropriate follow up in order to develop Individual Education Plans (IEPs)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sz w:val="24"/>
          <w:szCs w:val="24"/>
          <w:rtl w:val="0"/>
        </w:rPr>
        <w:t xml:space="preserve">Coordinate and implement the strategies detailed in the individual education plan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 students to different external specialists according to the needs of the individual student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Organise meetings with all relevant parties, both internal and external, in order to ensure that each students needs are accommodated in the most effective way possible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professional and up to date records of all cases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the start of every learning cycle ensure that all staff members are provided with all of the relevant information about each </w:t>
      </w:r>
      <w:r w:rsidDel="00000000" w:rsidR="00000000" w:rsidRPr="00000000">
        <w:rPr>
          <w:sz w:val="24"/>
          <w:szCs w:val="24"/>
          <w:rtl w:val="0"/>
        </w:rPr>
        <w:t xml:space="preserve">student’s learning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the progress and adaptation of new students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 with other internal members of staff (e.g. Nurse, Heads of School etc.) when cases require joint follow up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Produce and present workshops on relevant topics for teachers, parents and students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Participate in relevant professional development and ensure that knowledge about the field is kept up to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Analyse and interpret relevant school, local, national and international data in order to guide decision-making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that the School carries out all statutory responsibilities regarding all students with specific </w:t>
      </w:r>
      <w:r w:rsidDel="00000000" w:rsidR="00000000" w:rsidRPr="00000000">
        <w:rPr>
          <w:sz w:val="24"/>
          <w:szCs w:val="24"/>
          <w:rtl w:val="0"/>
        </w:rPr>
        <w:t xml:space="preserve">learning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professional guidance to staff and parents with regard to meeting student’s specific needs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Advise the SDS Coordinator on priorities for deployment of staff and utilize resources with maximum efficiency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Contribute to the development and implementation of the overall policies, procedures and plans of the School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Contribute to and encourage a positive school culture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88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that the welfare of students remains a priority at all times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88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Communicate clearly with the SDS Coordinator to ensure that all cases are followed up appropriately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1"/>
        <w:tblW w:w="11106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12"/>
        <w:gridCol w:w="1247"/>
        <w:gridCol w:w="1247"/>
        <w:tblGridChange w:id="0">
          <w:tblGrid>
            <w:gridCol w:w="8612"/>
            <w:gridCol w:w="1247"/>
            <w:gridCol w:w="12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university degree in educational psychology or a related 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relevant Master’s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least 2 years experience of working in a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working with students who have English as a second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Professional Skills, Knowledge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Fluency in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Working knowledge of Spanish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developed knowledge and understanding of current pedagogy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a flexible approach to working and enjoy being a positive 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effective communication, organization and time management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able to manage own workload effectively and respond swiftly to tight deadlines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interpersonal skills with the ability to enthuse and motivate others and develop effective partnerships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Willingness to share expertise, skills and knowledge and ability to encourage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Maintain a personal commitment to Professional Development linked to the competencies necessary to deliver the requirements of the post, including being reflective on their own practice and the practice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“Aligned with the recommendations of the International Task Force on Child Protection, we hold ourselves to a high standard of effective recruiting practices with specific attention to child protection” </w:t>
      </w:r>
      <w:r w:rsidDel="00000000" w:rsidR="00000000" w:rsidRPr="00000000">
        <w:rPr>
          <w:rtl w:val="0"/>
        </w:rPr>
        <w:t xml:space="preserve">(International Task Force on Child Protection, June 2016 Report: Outcomes and Recommendations). As such this appointment is subject to the provision of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jc w:val="both"/>
        <w:rPr/>
      </w:pPr>
      <w:bookmarkStart w:colFirst="0" w:colLast="0" w:name="_aeq6rredlnao" w:id="4"/>
      <w:bookmarkEnd w:id="4"/>
      <w:r w:rsidDel="00000000" w:rsidR="00000000" w:rsidRPr="00000000">
        <w:rPr>
          <w:rtl w:val="0"/>
        </w:rPr>
        <w:t xml:space="preserve">an appropriate criminal record check and the satisfactory return of professional referees.</w:t>
      </w:r>
    </w:p>
    <w:p w:rsidR="00000000" w:rsidDel="00000000" w:rsidP="00000000" w:rsidRDefault="00000000" w:rsidRPr="00000000" w14:paraId="0000005B">
      <w:pPr>
        <w:pageBreakBefore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right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DB - 09/25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Arial" w:cs="Arial" w:eastAsia="Arial" w:hAnsi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Arial" w:cs="Arial" w:eastAsia="Arial" w:hAnsi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