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7dmjw3hr06y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British School of Costa Rica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114300</wp:posOffset>
            </wp:positionV>
            <wp:extent cx="686022" cy="8366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6022" cy="836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olvgneezc3o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40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Post Title: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Classroom Teacher - Primary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Primary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Accountable 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Head of Primary</w:t>
      </w:r>
    </w:p>
    <w:p w:rsidR="00000000" w:rsidDel="00000000" w:rsidP="00000000" w:rsidRDefault="00000000" w:rsidRPr="00000000" w14:paraId="00000007">
      <w:pPr>
        <w:pStyle w:val="Heading3"/>
        <w:spacing w:line="240" w:lineRule="auto"/>
        <w:rPr>
          <w:rFonts w:ascii="Times New Roman" w:cs="Times New Roman" w:eastAsia="Times New Roman" w:hAnsi="Times New Roman"/>
          <w:color w:val="0070c0"/>
        </w:rPr>
      </w:pPr>
      <w:bookmarkStart w:colFirst="0" w:colLast="0" w:name="_vqbhj0t7p6nd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Main Responsibilities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Plan and deliver lessons (English,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color w:val="000000"/>
          <w:rtl w:val="0"/>
        </w:rPr>
        <w:t xml:space="preserve">aths, IPC,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rt, computing) that are pedagogically sound and are aligned with curriculum requirements and school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Ensure the needs of all students are catered for by using a variety of strategies in class and seeking support, where necessary, from Student Development Services (SDS).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Continually assess student’s progress by </w:t>
      </w:r>
      <w:r w:rsidDel="00000000" w:rsidR="00000000" w:rsidRPr="00000000">
        <w:rPr>
          <w:rtl w:val="0"/>
        </w:rPr>
        <w:t xml:space="preserve">utilizing</w:t>
      </w:r>
      <w:r w:rsidDel="00000000" w:rsidR="00000000" w:rsidRPr="00000000">
        <w:rPr>
          <w:color w:val="000000"/>
          <w:rtl w:val="0"/>
        </w:rPr>
        <w:t xml:space="preserve"> both formative and summative assessment strategies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Prepare and maintain accurate records in accordance with school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Prepare quarterly reports for parents and for the Administration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Meet with parents during planned Parent-Teacher afternoons, as well as during the year as necessary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Contribute to the development of the </w:t>
      </w:r>
      <w:r w:rsidDel="00000000" w:rsidR="00000000" w:rsidRPr="00000000">
        <w:rPr>
          <w:rtl w:val="0"/>
        </w:rPr>
        <w:t xml:space="preserve">Primary School</w:t>
      </w:r>
      <w:r w:rsidDel="00000000" w:rsidR="00000000" w:rsidRPr="00000000">
        <w:rPr>
          <w:color w:val="000000"/>
          <w:rtl w:val="0"/>
        </w:rPr>
        <w:t xml:space="preserve"> and its 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Contribute to whole-School and extracurricular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left="72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Comply with all of the school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color w:val="000000"/>
          <w:rtl w:val="0"/>
        </w:rPr>
        <w:t xml:space="preserve">s policies and regulations – specifically those relating to discipline, academic honesty, inclusion, assessment and health and safety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0" w:lineRule="auto"/>
        <w:rPr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1"/>
        <w:tblW w:w="11106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12"/>
        <w:gridCol w:w="1247"/>
        <w:gridCol w:w="1247"/>
        <w:tblGridChange w:id="0">
          <w:tblGrid>
            <w:gridCol w:w="8612"/>
            <w:gridCol w:w="1247"/>
            <w:gridCol w:w="124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</w:tcBorders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Bachelor’s degree in Primary Education, or a PGCE (or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 Qualified Teacher Status (or the international equivalent)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relevant Master’s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least 2 years teaching experience, preferably in international schools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Recent experience of teaching the International Primary Curriculum (IPC)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 teaching synthetic phonics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Experience working with students who have English as a second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Professional Skills, Knowledge and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Fluency in English (Minimum C1)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Knowledge of Spanish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developed knowledge and understanding of current pedagogy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 effective classroom practitioner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experience with the Personalized learning approach to education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Able to engage with students and to engender enthusiasm for learning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bookmarkStart w:colFirst="0" w:colLast="0" w:name="_b3vuhksylfw8" w:id="3"/>
            <w:bookmarkEnd w:id="3"/>
            <w:r w:rsidDel="00000000" w:rsidR="00000000" w:rsidRPr="00000000">
              <w:rPr>
                <w:sz w:val="24"/>
                <w:szCs w:val="24"/>
                <w:rtl w:val="0"/>
              </w:rPr>
              <w:t xml:space="preserve">Comfortable using a range of Educational Technology, including the Google platform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9fc5e8" w:val="clear"/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a flexible approach to working and enjoy being a positive team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effective communication, organization and time management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 able to manage own workload effectively and respond swiftly to tight deadlines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 interpersonal skills with the ability to enthuse and motivate others and develop effective partnerships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Willingness to share expertise, skills, resources and knowledge and ability to encourage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Maintain a personal commitment to Professional Development linked to the competencies necessary to deliver the requirements of the post, including being reflective on their own practice and the practice of 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2.0" w:type="dxa"/>
              <w:left w:w="100.0" w:type="dxa"/>
              <w:bottom w:w="72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/>
      </w:pPr>
      <w:r w:rsidDel="00000000" w:rsidR="00000000" w:rsidRPr="00000000">
        <w:rPr>
          <w:i w:val="1"/>
          <w:rtl w:val="0"/>
        </w:rPr>
        <w:t xml:space="preserve">“Aligned with the recommendations of the International Task Force on Child Protection, we hold ourselves to a high standard of effective recruiting practices with specific attention to child protection” </w:t>
      </w:r>
      <w:r w:rsidDel="00000000" w:rsidR="00000000" w:rsidRPr="00000000">
        <w:rPr>
          <w:rtl w:val="0"/>
        </w:rPr>
        <w:t xml:space="preserve">(International Task Force on Child Protection, June 2016 Report: Outcomes and Recommendations). As such this appointment is subject to the provision of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/>
      </w:pPr>
      <w:bookmarkStart w:colFirst="0" w:colLast="0" w:name="_aeq6rredlnao" w:id="4"/>
      <w:bookmarkEnd w:id="4"/>
      <w:r w:rsidDel="00000000" w:rsidR="00000000" w:rsidRPr="00000000">
        <w:rPr>
          <w:rtl w:val="0"/>
        </w:rPr>
        <w:t xml:space="preserve">an appropriate criminal record check and the satisfactory return of professional referees.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rFonts w:ascii="Arial" w:cs="Arial" w:eastAsia="Arial" w:hAnsi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rFonts w:ascii="Arial" w:cs="Arial" w:eastAsia="Arial" w:hAnsi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